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06ED2CC"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9005B8" w:rsidRPr="009005B8">
        <w:rPr>
          <w:bCs/>
          <w:noProof w:val="0"/>
          <w:sz w:val="24"/>
          <w:szCs w:val="24"/>
        </w:rPr>
        <w:t>R2-1900614</w:t>
      </w:r>
    </w:p>
    <w:p w14:paraId="231362B2" w14:textId="09855B8C"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75D465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F1B30">
        <w:rPr>
          <w:rFonts w:cs="Arial"/>
          <w:b/>
          <w:bCs/>
          <w:sz w:val="24"/>
          <w:lang w:eastAsia="ja-JP"/>
        </w:rPr>
        <w:t>1</w:t>
      </w:r>
      <w:r w:rsidR="00631AD4">
        <w:rPr>
          <w:rFonts w:cs="Arial"/>
          <w:b/>
          <w:bCs/>
          <w:sz w:val="24"/>
          <w:lang w:eastAsia="ja-JP"/>
        </w:rPr>
        <w:t>2.3.3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701BB0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67B2E" w:rsidRPr="00767B2E">
        <w:rPr>
          <w:rFonts w:ascii="Arial" w:hAnsi="Arial" w:cs="Arial"/>
          <w:b/>
          <w:bCs/>
          <w:sz w:val="24"/>
        </w:rPr>
        <w:t>Further details of Conditional Handover in E-UTRAN</w:t>
      </w:r>
    </w:p>
    <w:p w14:paraId="3AC3A0B1" w14:textId="3C34075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56FFE" w:rsidRPr="00E56FFE">
        <w:rPr>
          <w:rFonts w:ascii="Arial" w:hAnsi="Arial" w:cs="Arial"/>
          <w:b/>
          <w:bCs/>
          <w:sz w:val="24"/>
        </w:rPr>
        <w:t>LTE_feMob</w:t>
      </w:r>
      <w:proofErr w:type="spellEnd"/>
      <w:r w:rsidR="00E56FFE" w:rsidRPr="00E56FFE">
        <w:rPr>
          <w:rFonts w:ascii="Arial" w:hAnsi="Arial" w:cs="Arial"/>
          <w:b/>
          <w:bCs/>
          <w:sz w:val="24"/>
        </w:rPr>
        <w: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458DC">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59CA6A6" w14:textId="3EA9EDEC" w:rsidR="00B71493" w:rsidRDefault="00B71493" w:rsidP="002D694C">
      <w:r w:rsidRPr="00B71493">
        <w:t xml:space="preserve">In </w:t>
      </w:r>
      <w:r w:rsidR="00E56FFE">
        <w:fldChar w:fldCharType="begin"/>
      </w:r>
      <w:r w:rsidR="00E56FFE">
        <w:instrText xml:space="preserve"> REF _Ref874777 \r \h </w:instrText>
      </w:r>
      <w:r w:rsidR="00E56FFE">
        <w:fldChar w:fldCharType="separate"/>
      </w:r>
      <w:r w:rsidR="00E56FFE">
        <w:t>[1]</w:t>
      </w:r>
      <w:r w:rsidR="00E56FFE">
        <w:fldChar w:fldCharType="end"/>
      </w:r>
      <w:r>
        <w:t xml:space="preserve"> several companies are proposing a common baseline for the conditional handover.</w:t>
      </w:r>
      <w:r w:rsidR="000E13AB">
        <w:t xml:space="preserve"> In this </w:t>
      </w:r>
      <w:r w:rsidR="00D42FAF">
        <w:t xml:space="preserve">contribution, we discuss </w:t>
      </w:r>
      <w:r w:rsidR="0022492C">
        <w:t>the next steps to be agreed for the CHO baseline</w:t>
      </w:r>
      <w:r w:rsidR="00D42FAF">
        <w:t>.</w:t>
      </w:r>
    </w:p>
    <w:p w14:paraId="2A51F52E" w14:textId="7D215FFF" w:rsidR="00B71493" w:rsidRDefault="00B71493" w:rsidP="00B71493">
      <w:pPr>
        <w:pStyle w:val="Heading1"/>
      </w:pPr>
      <w:r>
        <w:t>2</w:t>
      </w:r>
      <w:r w:rsidRPr="006E13D1">
        <w:tab/>
      </w:r>
      <w:r w:rsidR="00CE5EA8">
        <w:t>Discussion</w:t>
      </w:r>
    </w:p>
    <w:p w14:paraId="0526CA36" w14:textId="321A3860" w:rsidR="00095856" w:rsidRDefault="00D52750" w:rsidP="00095856">
      <w:pPr>
        <w:pStyle w:val="Heading2"/>
      </w:pPr>
      <w:r>
        <w:t>2</w:t>
      </w:r>
      <w:r w:rsidR="00095856">
        <w:t>.</w:t>
      </w:r>
      <w:r w:rsidR="0022492C">
        <w:t>1</w:t>
      </w:r>
      <w:r w:rsidR="00095856">
        <w:tab/>
      </w:r>
      <w:r w:rsidR="0022492C">
        <w:t>Discarding prepared target during CHO execution</w:t>
      </w:r>
    </w:p>
    <w:p w14:paraId="3C28200E" w14:textId="7EF2167E" w:rsidR="00095856" w:rsidRDefault="0022492C" w:rsidP="00095856">
      <w:pPr>
        <w:jc w:val="both"/>
      </w:pPr>
      <w:r>
        <w:t>When the configured condition of one of the prepared target cells expires, the CHO is executed, i.e. a RACH is sent to the corresponding target, and the handover is completed just as the legacy handover.</w:t>
      </w:r>
      <w:r w:rsidR="00EF5ACF">
        <w:t xml:space="preserve"> In the case that multiple target cells have been prepared, it </w:t>
      </w:r>
      <w:proofErr w:type="gramStart"/>
      <w:r w:rsidR="00EF5ACF">
        <w:t>has to</w:t>
      </w:r>
      <w:proofErr w:type="gramEnd"/>
      <w:r w:rsidR="00EF5ACF">
        <w:t xml:space="preserve"> be clarified when the UE discards the RRC configurations for these additional targets. In principle, there are two possibilities:</w:t>
      </w:r>
    </w:p>
    <w:p w14:paraId="2855E60C" w14:textId="5AA7D942" w:rsidR="00EF5ACF" w:rsidRDefault="00EF5ACF" w:rsidP="00EF5ACF">
      <w:pPr>
        <w:pStyle w:val="ListParagraph"/>
        <w:numPr>
          <w:ilvl w:val="0"/>
          <w:numId w:val="8"/>
        </w:numPr>
        <w:jc w:val="both"/>
      </w:pPr>
      <w:r>
        <w:t>“early discard”: as soon as the condition expires for one of the prepared targets, and this target is considered appropriate for a RACH, the UE may discard other targets.</w:t>
      </w:r>
    </w:p>
    <w:p w14:paraId="167DA322" w14:textId="0956C706" w:rsidR="00EF5ACF" w:rsidRDefault="00EF5ACF" w:rsidP="00EF5ACF">
      <w:pPr>
        <w:pStyle w:val="ListParagraph"/>
        <w:numPr>
          <w:ilvl w:val="0"/>
          <w:numId w:val="8"/>
        </w:numPr>
        <w:jc w:val="both"/>
      </w:pPr>
      <w:r>
        <w:t>“late discard”: the UE keeps other targets (if existent) until the handover is completed, and then discards them.</w:t>
      </w:r>
    </w:p>
    <w:p w14:paraId="611DF0A4" w14:textId="1E9F444B" w:rsidR="00EF5ACF" w:rsidRDefault="00EF5ACF" w:rsidP="00EF5ACF">
      <w:pPr>
        <w:jc w:val="both"/>
      </w:pPr>
      <w:r>
        <w:t>We certainly can define more alternatives between early and late</w:t>
      </w:r>
      <w:r w:rsidR="00E56FFE">
        <w:t>,</w:t>
      </w:r>
      <w:r>
        <w:t xml:space="preserve"> as described above, however we believe that those are the most logical ones. The latter option has the advantage, that in case of occurring problems (e.g. RACH failure), the UE can still try a proper CHO execution to another prepared target cell, instead of falling back to RRC connection re-establishment. On the</w:t>
      </w:r>
      <w:r w:rsidR="0085043E">
        <w:t xml:space="preserve"> </w:t>
      </w:r>
      <w:r>
        <w:t xml:space="preserve">other hand, the UE </w:t>
      </w:r>
      <w:proofErr w:type="gramStart"/>
      <w:r>
        <w:t>has to</w:t>
      </w:r>
      <w:proofErr w:type="gramEnd"/>
      <w:r>
        <w:t xml:space="preserve"> keep the resources for a longer time. Note that the network may not release the resource reservation earlier, since the</w:t>
      </w:r>
      <w:r w:rsidR="00E77B26">
        <w:t xml:space="preserve"> network is not necessarily informed about the expiry of the condition (a “bye” message may not be mandatory, and/or under high risk of failure). Furthermore, the time between the expiry of the condition and the CHO completion may not be significant, so we believe that the advantage of keeping the targets is more relevant.</w:t>
      </w:r>
    </w:p>
    <w:p w14:paraId="6A6299E4" w14:textId="362DDF87" w:rsidR="00095856" w:rsidRDefault="00E77B26" w:rsidP="00095856">
      <w:pPr>
        <w:jc w:val="both"/>
        <w:rPr>
          <w:b/>
        </w:rPr>
      </w:pPr>
      <w:r>
        <w:rPr>
          <w:b/>
        </w:rPr>
        <w:t>Proposal 1: When executing a CHO towards one target cell, other target cells shall not be discarded before the CHO is completed.</w:t>
      </w:r>
    </w:p>
    <w:p w14:paraId="7F92B44E" w14:textId="5C0CB9BB" w:rsidR="00E77B26" w:rsidRDefault="00E77B26" w:rsidP="00E77B26">
      <w:pPr>
        <w:pStyle w:val="Heading2"/>
      </w:pPr>
      <w:r>
        <w:t>2.2</w:t>
      </w:r>
      <w:r>
        <w:tab/>
        <w:t>Simultaneous expiry of CHO condition for multiple target cells</w:t>
      </w:r>
    </w:p>
    <w:p w14:paraId="3049299A" w14:textId="3D04ED4D" w:rsidR="00147C44" w:rsidRDefault="00E77B26" w:rsidP="00E77B26">
      <w:pPr>
        <w:jc w:val="both"/>
      </w:pPr>
      <w:r>
        <w:t xml:space="preserve">In theory, it may happen that the CHO condition expires for multiple target cells at the same time. </w:t>
      </w:r>
      <w:r w:rsidR="00147C44">
        <w:t>There are multiple ways how the UE behaviour might be defined in this case:</w:t>
      </w:r>
    </w:p>
    <w:p w14:paraId="01107672" w14:textId="33726928" w:rsidR="00147C44" w:rsidRDefault="00147C44" w:rsidP="00147C44">
      <w:pPr>
        <w:pStyle w:val="ListParagraph"/>
        <w:numPr>
          <w:ilvl w:val="0"/>
          <w:numId w:val="10"/>
        </w:numPr>
        <w:jc w:val="both"/>
      </w:pPr>
      <w:r>
        <w:t>RAN2 may leave it up to the UE implementation which one to select</w:t>
      </w:r>
      <w:r w:rsidR="002A1D92">
        <w:t>.</w:t>
      </w:r>
    </w:p>
    <w:p w14:paraId="5A8404A2" w14:textId="05D8E0A3" w:rsidR="00147C44" w:rsidRDefault="00147C44" w:rsidP="00147C44">
      <w:pPr>
        <w:pStyle w:val="ListParagraph"/>
        <w:numPr>
          <w:ilvl w:val="0"/>
          <w:numId w:val="10"/>
        </w:numPr>
        <w:jc w:val="both"/>
      </w:pPr>
      <w:r>
        <w:t>The UE may be forced to select the strongest cell in this case.</w:t>
      </w:r>
    </w:p>
    <w:p w14:paraId="6C2E93A5" w14:textId="75D5E74C" w:rsidR="00147C44" w:rsidRDefault="00147C44" w:rsidP="00147C44">
      <w:pPr>
        <w:pStyle w:val="ListParagraph"/>
        <w:numPr>
          <w:ilvl w:val="0"/>
          <w:numId w:val="10"/>
        </w:numPr>
        <w:jc w:val="both"/>
      </w:pPr>
      <w:r>
        <w:t xml:space="preserve">Priorities might be defined, </w:t>
      </w:r>
      <w:proofErr w:type="spellStart"/>
      <w:r>
        <w:t>e.g</w:t>
      </w:r>
      <w:proofErr w:type="spellEnd"/>
      <w:r>
        <w:t xml:space="preserve">, the UE shall prefer target cells in the same </w:t>
      </w:r>
      <w:proofErr w:type="spellStart"/>
      <w:r>
        <w:t>eNB</w:t>
      </w:r>
      <w:proofErr w:type="spellEnd"/>
      <w:r>
        <w:t>.</w:t>
      </w:r>
    </w:p>
    <w:p w14:paraId="3A48FC8E" w14:textId="5F0BA53F" w:rsidR="00E77B26" w:rsidRDefault="00147C44" w:rsidP="00E77B26">
      <w:pPr>
        <w:jc w:val="both"/>
      </w:pPr>
      <w:r>
        <w:t>Since simultaneous expiry</w:t>
      </w:r>
      <w:r w:rsidR="00E77B26">
        <w:t xml:space="preserve"> will be an extremely rare case, </w:t>
      </w:r>
      <w:r>
        <w:t xml:space="preserve">we do not believe that RAN2 should spend time with a sophisticated solution; the simplest </w:t>
      </w:r>
      <w:r w:rsidR="002A1D92">
        <w:t xml:space="preserve">approach </w:t>
      </w:r>
      <w:r>
        <w:t>is option 1.</w:t>
      </w:r>
    </w:p>
    <w:p w14:paraId="1D0DAC02" w14:textId="00CC8271" w:rsidR="00E77B26" w:rsidRDefault="00E77B26" w:rsidP="00E77B26">
      <w:pPr>
        <w:jc w:val="both"/>
        <w:rPr>
          <w:b/>
        </w:rPr>
      </w:pPr>
      <w:r>
        <w:rPr>
          <w:b/>
        </w:rPr>
        <w:t xml:space="preserve">Proposal </w:t>
      </w:r>
      <w:r w:rsidR="00147C44">
        <w:rPr>
          <w:b/>
        </w:rPr>
        <w:t>2</w:t>
      </w:r>
      <w:r>
        <w:rPr>
          <w:b/>
        </w:rPr>
        <w:t xml:space="preserve">: </w:t>
      </w:r>
      <w:r w:rsidR="00147C44">
        <w:rPr>
          <w:b/>
        </w:rPr>
        <w:t>In the rare case the CHO condition expires for multiple target cells at the same time, it should be left up to the UE implementation which of the corresponding target cells it selects for CHO execution.</w:t>
      </w:r>
    </w:p>
    <w:p w14:paraId="084155FC" w14:textId="43662F89" w:rsidR="00147C44" w:rsidRDefault="00147C44" w:rsidP="00147C44">
      <w:pPr>
        <w:pStyle w:val="Heading2"/>
      </w:pPr>
      <w:r>
        <w:lastRenderedPageBreak/>
        <w:t>2.3</w:t>
      </w:r>
      <w:r>
        <w:tab/>
        <w:t>Handling of T310</w:t>
      </w:r>
    </w:p>
    <w:p w14:paraId="02E1DA28" w14:textId="3E7D7BB4" w:rsidR="00147C44" w:rsidRDefault="00147C44" w:rsidP="00147C44">
      <w:pPr>
        <w:jc w:val="both"/>
      </w:pPr>
      <w:r>
        <w:t>In today’s legacy handover procedure, T310 is stopped when the UE receives RRC reconfiguration with mobility information (“Handover Command”). This is a reasonable behaviour since the UE would immediately detach from the source cell. However, for CHO, the UE stays in the source cell and detaches later</w:t>
      </w:r>
      <w:r w:rsidR="00E56FFE">
        <w:t xml:space="preserve">. </w:t>
      </w:r>
      <w:r w:rsidR="005D3F1B">
        <w:t>Therefore,</w:t>
      </w:r>
      <w:r w:rsidR="001834FC">
        <w:t xml:space="preserve"> a pure stop of T310 would not be a reasonable behaviour. Instead:</w:t>
      </w:r>
    </w:p>
    <w:p w14:paraId="12629A03" w14:textId="76006307" w:rsidR="001834FC" w:rsidRDefault="001834FC" w:rsidP="001834FC">
      <w:pPr>
        <w:pStyle w:val="ListParagraph"/>
        <w:numPr>
          <w:ilvl w:val="0"/>
          <w:numId w:val="12"/>
        </w:numPr>
        <w:jc w:val="both"/>
      </w:pPr>
      <w:r>
        <w:t>UE may stop T310 and execute the CHO configured in the HO Command immediately, even if the condition is not fulfilled. In other words, the UE would execute a legacy handover and ignore the condition.</w:t>
      </w:r>
    </w:p>
    <w:p w14:paraId="3B06E807" w14:textId="45838E76" w:rsidR="001834FC" w:rsidRDefault="001834FC" w:rsidP="001834FC">
      <w:pPr>
        <w:pStyle w:val="ListParagraph"/>
        <w:numPr>
          <w:ilvl w:val="0"/>
          <w:numId w:val="12"/>
        </w:numPr>
        <w:jc w:val="both"/>
      </w:pPr>
      <w:r>
        <w:t>UE does not stop T310</w:t>
      </w:r>
      <w:r w:rsidR="006C33D5">
        <w:t>.</w:t>
      </w:r>
    </w:p>
    <w:p w14:paraId="1524B1FB" w14:textId="1F5A80DB" w:rsidR="006C33D5" w:rsidRDefault="006C33D5" w:rsidP="006C33D5">
      <w:pPr>
        <w:pStyle w:val="ListParagraph"/>
        <w:numPr>
          <w:ilvl w:val="0"/>
          <w:numId w:val="12"/>
        </w:numPr>
        <w:jc w:val="both"/>
      </w:pPr>
      <w:r>
        <w:t xml:space="preserve">UE may use a concept </w:t>
      </w:r>
      <w:proofErr w:type="gramStart"/>
      <w:r>
        <w:t>similar to</w:t>
      </w:r>
      <w:proofErr w:type="gramEnd"/>
      <w:r>
        <w:t xml:space="preserve"> T312, i.e. it may start another</w:t>
      </w:r>
      <w:bookmarkStart w:id="0" w:name="_GoBack"/>
      <w:bookmarkEnd w:id="0"/>
      <w:r>
        <w:t xml:space="preserve"> (shorter) timer and execute the CHO (and stop T310) upon expiry of this timer (irrespective of condition). This would give the UE some chance to recover.</w:t>
      </w:r>
    </w:p>
    <w:p w14:paraId="336FCDDD" w14:textId="1F6F1DDE" w:rsidR="004455C2" w:rsidRDefault="004455C2" w:rsidP="004455C2">
      <w:pPr>
        <w:jc w:val="both"/>
      </w:pPr>
      <w:r>
        <w:t xml:space="preserve">Furthermore, it may happen that T310 is started after the </w:t>
      </w:r>
      <w:r w:rsidR="00B5697F">
        <w:t>C</w:t>
      </w:r>
      <w:r>
        <w:t xml:space="preserve">HO command was received. </w:t>
      </w:r>
      <w:r w:rsidR="006C33D5">
        <w:t xml:space="preserve">It seems logical that the UE </w:t>
      </w:r>
      <w:r w:rsidR="00B5697F">
        <w:t>stops</w:t>
      </w:r>
      <w:r w:rsidR="006C33D5">
        <w:t xml:space="preserve"> the timer when the CHO condition </w:t>
      </w:r>
      <w:proofErr w:type="gramStart"/>
      <w:r w:rsidR="006C33D5">
        <w:t>expires</w:t>
      </w:r>
      <w:proofErr w:type="gramEnd"/>
      <w:r w:rsidR="006C33D5">
        <w:t xml:space="preserve"> and the UE will execute the CHO.</w:t>
      </w:r>
    </w:p>
    <w:p w14:paraId="2D7AD519" w14:textId="62221C50" w:rsidR="00147C44" w:rsidRDefault="00147C44" w:rsidP="00147C44">
      <w:pPr>
        <w:jc w:val="both"/>
        <w:rPr>
          <w:b/>
        </w:rPr>
      </w:pPr>
      <w:r>
        <w:rPr>
          <w:b/>
        </w:rPr>
        <w:t xml:space="preserve">Proposal </w:t>
      </w:r>
      <w:r w:rsidR="006C33D5">
        <w:rPr>
          <w:b/>
        </w:rPr>
        <w:t>3</w:t>
      </w:r>
      <w:r>
        <w:rPr>
          <w:b/>
        </w:rPr>
        <w:t xml:space="preserve">: </w:t>
      </w:r>
      <w:r w:rsidR="006C33D5">
        <w:rPr>
          <w:b/>
        </w:rPr>
        <w:t xml:space="preserve">T310 shall be stopped when the UE starts executing CHO. </w:t>
      </w:r>
      <w:r w:rsidR="00E56FFE">
        <w:rPr>
          <w:b/>
        </w:rPr>
        <w:t>If</w:t>
      </w:r>
      <w:r w:rsidR="006C33D5">
        <w:rPr>
          <w:b/>
        </w:rPr>
        <w:t xml:space="preserve"> T310 is running when a </w:t>
      </w:r>
      <w:r w:rsidR="00B5697F">
        <w:rPr>
          <w:b/>
        </w:rPr>
        <w:t>C</w:t>
      </w:r>
      <w:r w:rsidR="006C33D5">
        <w:rPr>
          <w:b/>
        </w:rPr>
        <w:t>HO Command is received, the alternatives above shall be studied.</w:t>
      </w:r>
    </w:p>
    <w:p w14:paraId="33E037EB" w14:textId="5C9F0F15" w:rsidR="006C33D5" w:rsidRDefault="006C33D5" w:rsidP="006C33D5">
      <w:pPr>
        <w:pStyle w:val="Heading2"/>
      </w:pPr>
      <w:r>
        <w:t>2.4</w:t>
      </w:r>
      <w:r>
        <w:tab/>
        <w:t>Handling of T304</w:t>
      </w:r>
    </w:p>
    <w:p w14:paraId="42DBF453" w14:textId="20F86248" w:rsidR="006C33D5" w:rsidRDefault="00B5697F" w:rsidP="006C33D5">
      <w:pPr>
        <w:jc w:val="both"/>
      </w:pPr>
      <w:r>
        <w:t xml:space="preserve">Similarly, the handling of T304 </w:t>
      </w:r>
      <w:proofErr w:type="gramStart"/>
      <w:r>
        <w:t>has to</w:t>
      </w:r>
      <w:proofErr w:type="gramEnd"/>
      <w:r>
        <w:t xml:space="preserve"> be clarified. Obviously, T304 shall not be started when receiving a CHO command</w:t>
      </w:r>
      <w:r w:rsidR="007B2F49">
        <w:t>, but it shall be started when the CHO execution is initiated, no matter whether this was caused by expiry of the CHO condition, or by any other trigger</w:t>
      </w:r>
      <w:r w:rsidR="00015F0C">
        <w:t>.</w:t>
      </w:r>
    </w:p>
    <w:p w14:paraId="0B38E275" w14:textId="6D546CE2" w:rsidR="006C33D5" w:rsidRDefault="006C33D5" w:rsidP="006C33D5">
      <w:pPr>
        <w:jc w:val="both"/>
        <w:rPr>
          <w:b/>
        </w:rPr>
      </w:pPr>
      <w:r>
        <w:rPr>
          <w:b/>
        </w:rPr>
        <w:t xml:space="preserve">Proposal </w:t>
      </w:r>
      <w:r w:rsidR="007B2F49">
        <w:rPr>
          <w:b/>
        </w:rPr>
        <w:t>4</w:t>
      </w:r>
      <w:r>
        <w:rPr>
          <w:b/>
        </w:rPr>
        <w:t>: T3</w:t>
      </w:r>
      <w:r w:rsidR="007B2F49">
        <w:rPr>
          <w:b/>
        </w:rPr>
        <w:t>04</w:t>
      </w:r>
      <w:r>
        <w:rPr>
          <w:b/>
        </w:rPr>
        <w:t xml:space="preserve"> shall be st</w:t>
      </w:r>
      <w:r w:rsidR="007B2F49">
        <w:rPr>
          <w:b/>
        </w:rPr>
        <w:t>arted when CHO execution is initiated</w:t>
      </w:r>
      <w:r>
        <w:rPr>
          <w:b/>
        </w:rPr>
        <w:t>.</w:t>
      </w:r>
    </w:p>
    <w:p w14:paraId="2BF5D02E" w14:textId="51A5249E" w:rsidR="007B2F49" w:rsidRDefault="007B2F49" w:rsidP="007B2F49">
      <w:pPr>
        <w:pStyle w:val="Heading2"/>
      </w:pPr>
      <w:r>
        <w:t>2.</w:t>
      </w:r>
      <w:r w:rsidR="00564490">
        <w:t>5</w:t>
      </w:r>
      <w:r>
        <w:tab/>
        <w:t>Compatibility with legacy handover</w:t>
      </w:r>
    </w:p>
    <w:p w14:paraId="288706D6" w14:textId="5728F12B" w:rsidR="007B2F49" w:rsidRDefault="007B2F49" w:rsidP="007B2F49">
      <w:pPr>
        <w:jc w:val="both"/>
      </w:pPr>
      <w:r>
        <w:t xml:space="preserve">The source cell is still free to configure CHO and legacy HO at the same time. This might be needed if certain target cells do not support CHO. So, the co-existence </w:t>
      </w:r>
      <w:proofErr w:type="gramStart"/>
      <w:r>
        <w:t>has to</w:t>
      </w:r>
      <w:proofErr w:type="gramEnd"/>
      <w:r>
        <w:t xml:space="preserve"> be clarified. Namely, the source cell may initiate a legacy handover while a CHO has been configured for one or multiple cells.</w:t>
      </w:r>
      <w:r w:rsidR="003131DA">
        <w:t xml:space="preserve"> Obviously, the legacy handover shall override the CHO handover. That is, the UE, when detecting the (legacy) handover command, shall execute the legacy handover following the legacy handover procedure. It may keep the CHO target(s) until handover completion as discussed above.</w:t>
      </w:r>
    </w:p>
    <w:p w14:paraId="0A88D1A3" w14:textId="477AAF65" w:rsidR="007B2F49" w:rsidRDefault="007B2F49" w:rsidP="007B2F49">
      <w:pPr>
        <w:jc w:val="both"/>
        <w:rPr>
          <w:b/>
        </w:rPr>
      </w:pPr>
      <w:r>
        <w:rPr>
          <w:b/>
        </w:rPr>
        <w:t xml:space="preserve">Proposal </w:t>
      </w:r>
      <w:r w:rsidR="00564490">
        <w:rPr>
          <w:b/>
        </w:rPr>
        <w:t>5</w:t>
      </w:r>
      <w:r w:rsidR="003131DA">
        <w:rPr>
          <w:b/>
        </w:rPr>
        <w:t>: Legacy handover shall override CHO preparations.</w:t>
      </w:r>
    </w:p>
    <w:p w14:paraId="000B84F2" w14:textId="48A7820B" w:rsidR="003131DA" w:rsidRDefault="003131DA" w:rsidP="003131DA">
      <w:pPr>
        <w:pStyle w:val="Heading2"/>
      </w:pPr>
      <w:r>
        <w:t>2.</w:t>
      </w:r>
      <w:r w:rsidR="00564490">
        <w:t>6</w:t>
      </w:r>
      <w:r>
        <w:tab/>
        <w:t>Consistency of RRC Configuration</w:t>
      </w:r>
    </w:p>
    <w:p w14:paraId="54F7DF53" w14:textId="4B513256" w:rsidR="003131DA" w:rsidRDefault="003131DA" w:rsidP="003131DA">
      <w:pPr>
        <w:jc w:val="both"/>
      </w:pPr>
      <w:r>
        <w:t xml:space="preserve">In </w:t>
      </w:r>
      <w:r w:rsidR="00E56FFE">
        <w:fldChar w:fldCharType="begin"/>
      </w:r>
      <w:r w:rsidR="00E56FFE">
        <w:instrText xml:space="preserve"> REF _Ref874777 \r \h </w:instrText>
      </w:r>
      <w:r w:rsidR="00E56FFE">
        <w:fldChar w:fldCharType="separate"/>
      </w:r>
      <w:r w:rsidR="00E56FFE">
        <w:t>[1]</w:t>
      </w:r>
      <w:r w:rsidR="00E56FFE">
        <w:fldChar w:fldCharType="end"/>
      </w:r>
      <w:r>
        <w:t xml:space="preserve">, many companies agree that the source cell remains RRC responsible and can still send RRC reconfigurations to the UE. This may lead to an inconsistency of the RRC configuration that the UE </w:t>
      </w:r>
      <w:proofErr w:type="gramStart"/>
      <w:r>
        <w:t>actually has</w:t>
      </w:r>
      <w:proofErr w:type="gramEnd"/>
      <w:r>
        <w:t>, and the RRC configuration which the CHO target(s) assume that the UE has. This inconsistency can be resolved by the following mechanisms:</w:t>
      </w:r>
    </w:p>
    <w:p w14:paraId="7564F0A3" w14:textId="11B5AA70" w:rsidR="003131DA" w:rsidRDefault="003131DA" w:rsidP="003131DA">
      <w:pPr>
        <w:pStyle w:val="ListParagraph"/>
        <w:numPr>
          <w:ilvl w:val="0"/>
          <w:numId w:val="16"/>
        </w:numPr>
        <w:jc w:val="both"/>
      </w:pPr>
      <w:r>
        <w:t>The source cell is not allowed to send reconfigurations which create such an inconsistency.</w:t>
      </w:r>
    </w:p>
    <w:p w14:paraId="01585279" w14:textId="79A07A3D" w:rsidR="003131DA" w:rsidRDefault="003131DA" w:rsidP="003131DA">
      <w:pPr>
        <w:pStyle w:val="ListParagraph"/>
        <w:numPr>
          <w:ilvl w:val="0"/>
          <w:numId w:val="16"/>
        </w:numPr>
        <w:jc w:val="both"/>
      </w:pPr>
      <w:r>
        <w:t>The source cell updates each CHO target whenever it reconfigures the UE.</w:t>
      </w:r>
    </w:p>
    <w:p w14:paraId="1C7E752B" w14:textId="69621852" w:rsidR="003131DA" w:rsidRDefault="003131DA" w:rsidP="003131DA">
      <w:pPr>
        <w:pStyle w:val="ListParagraph"/>
        <w:numPr>
          <w:ilvl w:val="0"/>
          <w:numId w:val="16"/>
        </w:numPr>
        <w:jc w:val="both"/>
      </w:pPr>
      <w:r>
        <w:t>UE s</w:t>
      </w:r>
      <w:r w:rsidR="007469D4">
        <w:t>ynchronizes its RRC configuration with the CHO target during (or right after) the RACH procedure.</w:t>
      </w:r>
    </w:p>
    <w:p w14:paraId="734BF5C6" w14:textId="07053251" w:rsidR="007469D4" w:rsidRDefault="007469D4" w:rsidP="003131DA">
      <w:pPr>
        <w:pStyle w:val="ListParagraph"/>
        <w:numPr>
          <w:ilvl w:val="0"/>
          <w:numId w:val="16"/>
        </w:numPr>
        <w:jc w:val="both"/>
      </w:pPr>
      <w:r>
        <w:t>The UE is configured with a token, which is changed when the source cell sends a</w:t>
      </w:r>
      <w:r w:rsidR="00522DE6">
        <w:t>n</w:t>
      </w:r>
      <w:r>
        <w:t xml:space="preserve"> RRC reconfiguration. If the token is exchanged during the RACH procedure, the target will be aware whether an update is necessary or not.</w:t>
      </w:r>
    </w:p>
    <w:p w14:paraId="46EAB57B" w14:textId="4C62DA65" w:rsidR="007469D4" w:rsidRDefault="007469D4" w:rsidP="007469D4">
      <w:pPr>
        <w:jc w:val="both"/>
      </w:pPr>
      <w:r>
        <w:t>We believe that a solution to the problem will be a combination of the list above. Details are ffs.</w:t>
      </w:r>
    </w:p>
    <w:p w14:paraId="71C7BBBA" w14:textId="0504E4C3" w:rsidR="009D77B7" w:rsidRPr="00DA7580" w:rsidRDefault="003131DA" w:rsidP="003339D8">
      <w:pPr>
        <w:jc w:val="both"/>
        <w:rPr>
          <w:b/>
        </w:rPr>
      </w:pPr>
      <w:r>
        <w:rPr>
          <w:b/>
        </w:rPr>
        <w:t xml:space="preserve">Proposal </w:t>
      </w:r>
      <w:r w:rsidR="00564490">
        <w:rPr>
          <w:b/>
        </w:rPr>
        <w:t>6</w:t>
      </w:r>
      <w:r>
        <w:rPr>
          <w:b/>
        </w:rPr>
        <w:t xml:space="preserve">: </w:t>
      </w:r>
      <w:r w:rsidR="009D3586">
        <w:rPr>
          <w:b/>
        </w:rPr>
        <w:t>The consistency of UE’s RRC configuration can be guaranteed by a combination of the alternatives listed above</w:t>
      </w:r>
      <w:r>
        <w:rPr>
          <w:b/>
        </w:rPr>
        <w:t>.</w:t>
      </w:r>
    </w:p>
    <w:p w14:paraId="5EDB6265" w14:textId="27C8C650" w:rsidR="007070A1" w:rsidRPr="006E13D1" w:rsidRDefault="00631AD4" w:rsidP="007070A1">
      <w:pPr>
        <w:pStyle w:val="Heading1"/>
      </w:pPr>
      <w:r>
        <w:t>3</w:t>
      </w:r>
      <w:r w:rsidR="007070A1" w:rsidRPr="006E13D1">
        <w:tab/>
      </w:r>
      <w:r w:rsidR="007070A1">
        <w:t>C</w:t>
      </w:r>
      <w:r w:rsidR="003912CB">
        <w:t>onclusions</w:t>
      </w:r>
    </w:p>
    <w:p w14:paraId="0E82DF09" w14:textId="44F0EE24" w:rsidR="00063C02" w:rsidRDefault="0061351F" w:rsidP="00CD4C7B">
      <w:r>
        <w:t>In this paper we have outlined further basic details of the Conditional Handover in E-UTRAN. The following proposals have been made:</w:t>
      </w:r>
    </w:p>
    <w:p w14:paraId="5CE7D9D0" w14:textId="06F6D484" w:rsidR="0061351F" w:rsidRDefault="0061351F" w:rsidP="0061351F">
      <w:pPr>
        <w:jc w:val="both"/>
        <w:rPr>
          <w:b/>
        </w:rPr>
      </w:pPr>
      <w:r>
        <w:rPr>
          <w:b/>
        </w:rPr>
        <w:t>Proposal 1: When executing a CHO towards one target cell, other target cells shall not be discarded before the CHO is completed.</w:t>
      </w:r>
    </w:p>
    <w:p w14:paraId="27768562" w14:textId="77777777" w:rsidR="0061351F" w:rsidRDefault="0061351F" w:rsidP="0061351F">
      <w:pPr>
        <w:jc w:val="both"/>
        <w:rPr>
          <w:b/>
        </w:rPr>
      </w:pPr>
      <w:r>
        <w:rPr>
          <w:b/>
        </w:rPr>
        <w:lastRenderedPageBreak/>
        <w:t>Proposal 2: In the rare case the CHO condition expires for multiple target cells at the same time, it should be left up to the UE implementation which of the corresponding target cells it selects for CHO execution.</w:t>
      </w:r>
    </w:p>
    <w:p w14:paraId="20F272B4" w14:textId="77777777" w:rsidR="0061351F" w:rsidRDefault="0061351F" w:rsidP="0061351F">
      <w:pPr>
        <w:jc w:val="both"/>
        <w:rPr>
          <w:b/>
        </w:rPr>
      </w:pPr>
      <w:r>
        <w:rPr>
          <w:b/>
        </w:rPr>
        <w:t>Proposal 3: T310 shall be stopped when the UE starts executing CHO. If T310 is running when a CHO Command is received, the alternatives above shall be studied.</w:t>
      </w:r>
    </w:p>
    <w:p w14:paraId="492057BD" w14:textId="77777777" w:rsidR="0061351F" w:rsidRDefault="0061351F" w:rsidP="0061351F">
      <w:pPr>
        <w:jc w:val="both"/>
        <w:rPr>
          <w:b/>
        </w:rPr>
      </w:pPr>
      <w:r>
        <w:rPr>
          <w:b/>
        </w:rPr>
        <w:t>Proposal 4: T304 shall be started when CHO execution is initiated.</w:t>
      </w:r>
    </w:p>
    <w:p w14:paraId="5E0B3890" w14:textId="77777777" w:rsidR="0061351F" w:rsidRDefault="0061351F" w:rsidP="0061351F">
      <w:pPr>
        <w:jc w:val="both"/>
        <w:rPr>
          <w:b/>
        </w:rPr>
      </w:pPr>
      <w:r>
        <w:rPr>
          <w:b/>
        </w:rPr>
        <w:t>Proposal 5: Legacy handover shall override CHO preparations.</w:t>
      </w:r>
    </w:p>
    <w:p w14:paraId="69ECC5C6" w14:textId="28DFB0FA" w:rsidR="0061351F" w:rsidRPr="009005B8" w:rsidRDefault="0061351F" w:rsidP="009005B8">
      <w:pPr>
        <w:jc w:val="both"/>
        <w:rPr>
          <w:b/>
        </w:rPr>
      </w:pPr>
      <w:r>
        <w:rPr>
          <w:b/>
        </w:rPr>
        <w:t>Proposal 6: The consistency of UE’s RRC configuration can be guaranteed by a combination of the alternatives listed above.</w:t>
      </w:r>
    </w:p>
    <w:p w14:paraId="3460D97F" w14:textId="77777777" w:rsidR="00021DD9" w:rsidRPr="006E13D1" w:rsidRDefault="00021DD9" w:rsidP="00021DD9">
      <w:pPr>
        <w:pStyle w:val="Heading1"/>
      </w:pPr>
      <w:r w:rsidRPr="006E13D1">
        <w:t>References</w:t>
      </w:r>
    </w:p>
    <w:p w14:paraId="3DCD3723" w14:textId="41217EE7" w:rsidR="00021DD9" w:rsidRDefault="00021DD9" w:rsidP="00631AD4">
      <w:pPr>
        <w:numPr>
          <w:ilvl w:val="0"/>
          <w:numId w:val="4"/>
        </w:numPr>
        <w:overflowPunct w:val="0"/>
        <w:autoSpaceDE w:val="0"/>
        <w:autoSpaceDN w:val="0"/>
        <w:adjustRightInd w:val="0"/>
        <w:textAlignment w:val="baseline"/>
      </w:pPr>
      <w:bookmarkStart w:id="1" w:name="_Ref535824419"/>
      <w:bookmarkStart w:id="2" w:name="_Ref874777"/>
      <w:bookmarkStart w:id="3" w:name="_Ref75086397"/>
      <w:bookmarkStart w:id="4" w:name="_Ref525555002"/>
      <w:r w:rsidRPr="009005B8">
        <w:t>R</w:t>
      </w:r>
      <w:r w:rsidR="003339D8" w:rsidRPr="009005B8">
        <w:t>2-19</w:t>
      </w:r>
      <w:r w:rsidR="009005B8">
        <w:t>00613</w:t>
      </w:r>
      <w:r w:rsidRPr="006E13D1">
        <w:t xml:space="preserve"> </w:t>
      </w:r>
      <w:r w:rsidR="005127D4">
        <w:rPr>
          <w:i/>
        </w:rPr>
        <w:t>Basic</w:t>
      </w:r>
      <w:r w:rsidR="00C76B2B" w:rsidRPr="00C76B2B">
        <w:rPr>
          <w:i/>
        </w:rPr>
        <w:t xml:space="preserve"> details o</w:t>
      </w:r>
      <w:r w:rsidR="005127D4">
        <w:rPr>
          <w:i/>
        </w:rPr>
        <w:t>f</w:t>
      </w:r>
      <w:r w:rsidR="00C76B2B" w:rsidRPr="00C76B2B">
        <w:rPr>
          <w:i/>
        </w:rPr>
        <w:t xml:space="preserve"> Conditional Handover in E-UTRAN</w:t>
      </w:r>
      <w:r>
        <w:t xml:space="preserve"> – </w:t>
      </w:r>
      <w:bookmarkEnd w:id="1"/>
      <w:r w:rsidR="003339D8">
        <w:t>Nokia,</w:t>
      </w:r>
      <w:r w:rsidR="00631AD4">
        <w:t xml:space="preserve"> Nokia Shanghai Bell, Qualcomm Incorporated, ZTE,</w:t>
      </w:r>
      <w:r w:rsidR="009005B8">
        <w:t xml:space="preserve"> OPPO, Xiaomi,</w:t>
      </w:r>
      <w:r w:rsidR="003339D8">
        <w:t xml:space="preserve"> </w:t>
      </w:r>
      <w:r w:rsidR="00631AD4">
        <w:t>3GPP TSG-RAN WG2 Meeting #105 Athens, Greece, 25 Feb - 01 Mar 2019</w:t>
      </w:r>
      <w:bookmarkEnd w:id="2"/>
    </w:p>
    <w:bookmarkEnd w:id="3"/>
    <w:bookmarkEnd w:id="4"/>
    <w:p w14:paraId="0A6A2DF2" w14:textId="77777777" w:rsidR="003339D8" w:rsidRDefault="003339D8" w:rsidP="00C76B2B">
      <w:pPr>
        <w:overflowPunct w:val="0"/>
        <w:autoSpaceDE w:val="0"/>
        <w:autoSpaceDN w:val="0"/>
        <w:adjustRightInd w:val="0"/>
        <w:textAlignment w:val="baseline"/>
      </w:pPr>
    </w:p>
    <w:sectPr w:rsidR="003339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1C3A5" w14:textId="77777777" w:rsidR="00A02D9C" w:rsidRDefault="00A02D9C">
      <w:r>
        <w:separator/>
      </w:r>
    </w:p>
  </w:endnote>
  <w:endnote w:type="continuationSeparator" w:id="0">
    <w:p w14:paraId="4B699E1E" w14:textId="77777777" w:rsidR="00A02D9C" w:rsidRDefault="00A0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F243D6" w:rsidRDefault="00F243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F243D6" w:rsidRDefault="00F243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F243D6" w:rsidRDefault="00F243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AB7AB" w14:textId="77777777" w:rsidR="00A02D9C" w:rsidRDefault="00A02D9C">
      <w:r>
        <w:separator/>
      </w:r>
    </w:p>
  </w:footnote>
  <w:footnote w:type="continuationSeparator" w:id="0">
    <w:p w14:paraId="442D66E2" w14:textId="77777777" w:rsidR="00A02D9C" w:rsidRDefault="00A02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F243D6" w:rsidRDefault="00F243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F243D6" w:rsidRDefault="00F243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F243D6" w:rsidRDefault="00F243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40E2B"/>
    <w:multiLevelType w:val="hybridMultilevel"/>
    <w:tmpl w:val="6A2EED48"/>
    <w:lvl w:ilvl="0" w:tplc="5AC0D60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243FF"/>
    <w:multiLevelType w:val="hybridMultilevel"/>
    <w:tmpl w:val="CFA0AA3A"/>
    <w:lvl w:ilvl="0" w:tplc="7FF44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45D61"/>
    <w:multiLevelType w:val="hybridMultilevel"/>
    <w:tmpl w:val="4AFAC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8C6BF9"/>
    <w:multiLevelType w:val="hybridMultilevel"/>
    <w:tmpl w:val="9AE83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8E0317"/>
    <w:multiLevelType w:val="hybridMultilevel"/>
    <w:tmpl w:val="7DC8D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C4D3468"/>
    <w:multiLevelType w:val="hybridMultilevel"/>
    <w:tmpl w:val="D804D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3C1000"/>
    <w:multiLevelType w:val="hybridMultilevel"/>
    <w:tmpl w:val="4AFAC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0E61EB"/>
    <w:multiLevelType w:val="hybridMultilevel"/>
    <w:tmpl w:val="D804D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102714"/>
    <w:multiLevelType w:val="hybridMultilevel"/>
    <w:tmpl w:val="9AE83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CD1CC3"/>
    <w:multiLevelType w:val="hybridMultilevel"/>
    <w:tmpl w:val="EFE48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4"/>
  </w:num>
  <w:num w:numId="7">
    <w:abstractNumId w:val="2"/>
  </w:num>
  <w:num w:numId="8">
    <w:abstractNumId w:val="13"/>
  </w:num>
  <w:num w:numId="9">
    <w:abstractNumId w:val="6"/>
  </w:num>
  <w:num w:numId="10">
    <w:abstractNumId w:val="12"/>
  </w:num>
  <w:num w:numId="11">
    <w:abstractNumId w:val="10"/>
  </w:num>
  <w:num w:numId="12">
    <w:abstractNumId w:val="11"/>
  </w:num>
  <w:num w:numId="13">
    <w:abstractNumId w:val="5"/>
  </w:num>
  <w:num w:numId="14">
    <w:abstractNumId w:val="14"/>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F0C"/>
    <w:rsid w:val="0001661B"/>
    <w:rsid w:val="00021DD9"/>
    <w:rsid w:val="00033397"/>
    <w:rsid w:val="00040095"/>
    <w:rsid w:val="00054FC9"/>
    <w:rsid w:val="00063C02"/>
    <w:rsid w:val="00080512"/>
    <w:rsid w:val="0008251E"/>
    <w:rsid w:val="00090468"/>
    <w:rsid w:val="00095856"/>
    <w:rsid w:val="000B7BCF"/>
    <w:rsid w:val="000C008C"/>
    <w:rsid w:val="000C522B"/>
    <w:rsid w:val="000D58AB"/>
    <w:rsid w:val="000E13AB"/>
    <w:rsid w:val="001109C8"/>
    <w:rsid w:val="00112F1A"/>
    <w:rsid w:val="00116974"/>
    <w:rsid w:val="00134ADC"/>
    <w:rsid w:val="00145075"/>
    <w:rsid w:val="00147C44"/>
    <w:rsid w:val="00171701"/>
    <w:rsid w:val="001741A0"/>
    <w:rsid w:val="00175FA0"/>
    <w:rsid w:val="001834FC"/>
    <w:rsid w:val="00194CD0"/>
    <w:rsid w:val="001A7D54"/>
    <w:rsid w:val="001B42C7"/>
    <w:rsid w:val="001B49C9"/>
    <w:rsid w:val="001C4F79"/>
    <w:rsid w:val="001E628C"/>
    <w:rsid w:val="001F168B"/>
    <w:rsid w:val="001F7831"/>
    <w:rsid w:val="00204045"/>
    <w:rsid w:val="0020606E"/>
    <w:rsid w:val="0020712B"/>
    <w:rsid w:val="00211640"/>
    <w:rsid w:val="0022492C"/>
    <w:rsid w:val="0022606D"/>
    <w:rsid w:val="00231728"/>
    <w:rsid w:val="00231804"/>
    <w:rsid w:val="00244ABE"/>
    <w:rsid w:val="002610D8"/>
    <w:rsid w:val="00273840"/>
    <w:rsid w:val="002747EC"/>
    <w:rsid w:val="002855BF"/>
    <w:rsid w:val="002A1D92"/>
    <w:rsid w:val="002D1A78"/>
    <w:rsid w:val="002D694C"/>
    <w:rsid w:val="002F0D22"/>
    <w:rsid w:val="003131DA"/>
    <w:rsid w:val="003172DC"/>
    <w:rsid w:val="00325AE3"/>
    <w:rsid w:val="00326069"/>
    <w:rsid w:val="003339D8"/>
    <w:rsid w:val="0035462D"/>
    <w:rsid w:val="00364B41"/>
    <w:rsid w:val="003912CB"/>
    <w:rsid w:val="003A41EF"/>
    <w:rsid w:val="003A6B2A"/>
    <w:rsid w:val="003B40AD"/>
    <w:rsid w:val="003C1827"/>
    <w:rsid w:val="003C4E37"/>
    <w:rsid w:val="003D38F4"/>
    <w:rsid w:val="003E16BE"/>
    <w:rsid w:val="003F4E28"/>
    <w:rsid w:val="004006E8"/>
    <w:rsid w:val="00401855"/>
    <w:rsid w:val="004455C2"/>
    <w:rsid w:val="00453CE6"/>
    <w:rsid w:val="00465587"/>
    <w:rsid w:val="00477455"/>
    <w:rsid w:val="004A1F7B"/>
    <w:rsid w:val="004C44D2"/>
    <w:rsid w:val="004D3578"/>
    <w:rsid w:val="004D380D"/>
    <w:rsid w:val="004D3D5C"/>
    <w:rsid w:val="004E213A"/>
    <w:rsid w:val="00500E35"/>
    <w:rsid w:val="00503171"/>
    <w:rsid w:val="00506C28"/>
    <w:rsid w:val="005127D4"/>
    <w:rsid w:val="00522DE6"/>
    <w:rsid w:val="00534DA0"/>
    <w:rsid w:val="00535B46"/>
    <w:rsid w:val="00543E6C"/>
    <w:rsid w:val="0056065F"/>
    <w:rsid w:val="00564490"/>
    <w:rsid w:val="00565087"/>
    <w:rsid w:val="0056573F"/>
    <w:rsid w:val="005D3F1B"/>
    <w:rsid w:val="005E17C6"/>
    <w:rsid w:val="00611566"/>
    <w:rsid w:val="0061351F"/>
    <w:rsid w:val="00631AD4"/>
    <w:rsid w:val="00646D99"/>
    <w:rsid w:val="00656910"/>
    <w:rsid w:val="006C33D5"/>
    <w:rsid w:val="006C66D8"/>
    <w:rsid w:val="006D1E24"/>
    <w:rsid w:val="006E1417"/>
    <w:rsid w:val="006E7FF4"/>
    <w:rsid w:val="006F6A2C"/>
    <w:rsid w:val="00704730"/>
    <w:rsid w:val="007070A1"/>
    <w:rsid w:val="007071D8"/>
    <w:rsid w:val="00710201"/>
    <w:rsid w:val="0072436A"/>
    <w:rsid w:val="007342B5"/>
    <w:rsid w:val="00734A5B"/>
    <w:rsid w:val="00744E76"/>
    <w:rsid w:val="00745D1D"/>
    <w:rsid w:val="007469D4"/>
    <w:rsid w:val="00752222"/>
    <w:rsid w:val="00757D40"/>
    <w:rsid w:val="0076184D"/>
    <w:rsid w:val="0076218A"/>
    <w:rsid w:val="007647C9"/>
    <w:rsid w:val="00767B2E"/>
    <w:rsid w:val="00780A21"/>
    <w:rsid w:val="00781F0F"/>
    <w:rsid w:val="0078727C"/>
    <w:rsid w:val="0079049D"/>
    <w:rsid w:val="0079241D"/>
    <w:rsid w:val="00793DC5"/>
    <w:rsid w:val="007B18D8"/>
    <w:rsid w:val="007B2F49"/>
    <w:rsid w:val="007B5E0D"/>
    <w:rsid w:val="007C095F"/>
    <w:rsid w:val="007C2DD0"/>
    <w:rsid w:val="008028A4"/>
    <w:rsid w:val="00813245"/>
    <w:rsid w:val="00815AC2"/>
    <w:rsid w:val="0085043E"/>
    <w:rsid w:val="00853B79"/>
    <w:rsid w:val="008768CA"/>
    <w:rsid w:val="00877EF9"/>
    <w:rsid w:val="00880559"/>
    <w:rsid w:val="008867F4"/>
    <w:rsid w:val="008B5306"/>
    <w:rsid w:val="008D2E4D"/>
    <w:rsid w:val="008E2AE4"/>
    <w:rsid w:val="008F396F"/>
    <w:rsid w:val="009005B8"/>
    <w:rsid w:val="0090271F"/>
    <w:rsid w:val="00902DB9"/>
    <w:rsid w:val="0090466A"/>
    <w:rsid w:val="00936071"/>
    <w:rsid w:val="00940212"/>
    <w:rsid w:val="00942EC2"/>
    <w:rsid w:val="009534C2"/>
    <w:rsid w:val="00961B32"/>
    <w:rsid w:val="00962509"/>
    <w:rsid w:val="00970BCB"/>
    <w:rsid w:val="00970DB3"/>
    <w:rsid w:val="00974BB0"/>
    <w:rsid w:val="009763D6"/>
    <w:rsid w:val="009A0AF3"/>
    <w:rsid w:val="009B07CD"/>
    <w:rsid w:val="009C19E9"/>
    <w:rsid w:val="009C5E6A"/>
    <w:rsid w:val="009D3586"/>
    <w:rsid w:val="009D74A6"/>
    <w:rsid w:val="009D77B7"/>
    <w:rsid w:val="00A02D9C"/>
    <w:rsid w:val="00A02FF2"/>
    <w:rsid w:val="00A10F02"/>
    <w:rsid w:val="00A204CA"/>
    <w:rsid w:val="00A250A7"/>
    <w:rsid w:val="00A47293"/>
    <w:rsid w:val="00A53724"/>
    <w:rsid w:val="00A54C0B"/>
    <w:rsid w:val="00A8081B"/>
    <w:rsid w:val="00A82346"/>
    <w:rsid w:val="00A9671C"/>
    <w:rsid w:val="00AA1553"/>
    <w:rsid w:val="00AC251F"/>
    <w:rsid w:val="00B05380"/>
    <w:rsid w:val="00B05962"/>
    <w:rsid w:val="00B15449"/>
    <w:rsid w:val="00B27303"/>
    <w:rsid w:val="00B47FD1"/>
    <w:rsid w:val="00B516BB"/>
    <w:rsid w:val="00B5697F"/>
    <w:rsid w:val="00B71493"/>
    <w:rsid w:val="00B75D2A"/>
    <w:rsid w:val="00B84DB2"/>
    <w:rsid w:val="00BA47DD"/>
    <w:rsid w:val="00BC2862"/>
    <w:rsid w:val="00BC3555"/>
    <w:rsid w:val="00C00C44"/>
    <w:rsid w:val="00C12B51"/>
    <w:rsid w:val="00C16C24"/>
    <w:rsid w:val="00C21E01"/>
    <w:rsid w:val="00C24650"/>
    <w:rsid w:val="00C25465"/>
    <w:rsid w:val="00C33079"/>
    <w:rsid w:val="00C61E0E"/>
    <w:rsid w:val="00C76B2B"/>
    <w:rsid w:val="00C83A13"/>
    <w:rsid w:val="00C9068C"/>
    <w:rsid w:val="00C91DE5"/>
    <w:rsid w:val="00C92967"/>
    <w:rsid w:val="00CA3D0C"/>
    <w:rsid w:val="00CA654B"/>
    <w:rsid w:val="00CB72B8"/>
    <w:rsid w:val="00CD4C7B"/>
    <w:rsid w:val="00CE5EA8"/>
    <w:rsid w:val="00CF1B30"/>
    <w:rsid w:val="00D33BE3"/>
    <w:rsid w:val="00D36331"/>
    <w:rsid w:val="00D3792D"/>
    <w:rsid w:val="00D42FAF"/>
    <w:rsid w:val="00D52750"/>
    <w:rsid w:val="00D55E47"/>
    <w:rsid w:val="00D56BB5"/>
    <w:rsid w:val="00D62E19"/>
    <w:rsid w:val="00D67CD1"/>
    <w:rsid w:val="00D738D6"/>
    <w:rsid w:val="00D80795"/>
    <w:rsid w:val="00D854BE"/>
    <w:rsid w:val="00D87E00"/>
    <w:rsid w:val="00D9134D"/>
    <w:rsid w:val="00D96D11"/>
    <w:rsid w:val="00DA664A"/>
    <w:rsid w:val="00DA7580"/>
    <w:rsid w:val="00DA7A03"/>
    <w:rsid w:val="00DB0DB8"/>
    <w:rsid w:val="00DB1818"/>
    <w:rsid w:val="00DC309B"/>
    <w:rsid w:val="00DC4DA2"/>
    <w:rsid w:val="00E1197A"/>
    <w:rsid w:val="00E13FDB"/>
    <w:rsid w:val="00E4079B"/>
    <w:rsid w:val="00E46C08"/>
    <w:rsid w:val="00E471CF"/>
    <w:rsid w:val="00E524D9"/>
    <w:rsid w:val="00E56FFE"/>
    <w:rsid w:val="00E62835"/>
    <w:rsid w:val="00E76B0E"/>
    <w:rsid w:val="00E77645"/>
    <w:rsid w:val="00E77B26"/>
    <w:rsid w:val="00E83697"/>
    <w:rsid w:val="00EA54B7"/>
    <w:rsid w:val="00EC4A25"/>
    <w:rsid w:val="00EF5ACF"/>
    <w:rsid w:val="00F025A2"/>
    <w:rsid w:val="00F07388"/>
    <w:rsid w:val="00F2026E"/>
    <w:rsid w:val="00F2210A"/>
    <w:rsid w:val="00F243D6"/>
    <w:rsid w:val="00F37743"/>
    <w:rsid w:val="00F4462B"/>
    <w:rsid w:val="00F458DC"/>
    <w:rsid w:val="00F515F9"/>
    <w:rsid w:val="00F54A3D"/>
    <w:rsid w:val="00F54CB0"/>
    <w:rsid w:val="00F5556A"/>
    <w:rsid w:val="00F653B8"/>
    <w:rsid w:val="00F71B89"/>
    <w:rsid w:val="00F7353C"/>
    <w:rsid w:val="00F76F8F"/>
    <w:rsid w:val="00F84ED3"/>
    <w:rsid w:val="00F941DF"/>
    <w:rsid w:val="00FA1266"/>
    <w:rsid w:val="00FA1F60"/>
    <w:rsid w:val="00FA4528"/>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45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3B79"/>
    <w:pPr>
      <w:ind w:left="720"/>
      <w:contextualSpacing/>
    </w:pPr>
  </w:style>
  <w:style w:type="character" w:styleId="CommentReference">
    <w:name w:val="annotation reference"/>
    <w:basedOn w:val="DefaultParagraphFont"/>
    <w:rsid w:val="00780A21"/>
    <w:rPr>
      <w:sz w:val="16"/>
      <w:szCs w:val="16"/>
    </w:rPr>
  </w:style>
  <w:style w:type="paragraph" w:styleId="CommentText">
    <w:name w:val="annotation text"/>
    <w:basedOn w:val="Normal"/>
    <w:link w:val="CommentTextChar"/>
    <w:rsid w:val="00780A21"/>
  </w:style>
  <w:style w:type="character" w:customStyle="1" w:styleId="CommentTextChar">
    <w:name w:val="Comment Text Char"/>
    <w:basedOn w:val="DefaultParagraphFont"/>
    <w:link w:val="CommentText"/>
    <w:rsid w:val="00780A21"/>
    <w:rPr>
      <w:lang w:eastAsia="en-US"/>
    </w:rPr>
  </w:style>
  <w:style w:type="paragraph" w:styleId="CommentSubject">
    <w:name w:val="annotation subject"/>
    <w:basedOn w:val="CommentText"/>
    <w:next w:val="CommentText"/>
    <w:link w:val="CommentSubjectChar"/>
    <w:rsid w:val="00780A21"/>
    <w:rPr>
      <w:b/>
      <w:bCs/>
    </w:rPr>
  </w:style>
  <w:style w:type="character" w:customStyle="1" w:styleId="CommentSubjectChar">
    <w:name w:val="Comment Subject Char"/>
    <w:basedOn w:val="CommentTextChar"/>
    <w:link w:val="CommentSubject"/>
    <w:rsid w:val="00780A21"/>
    <w:rPr>
      <w:b/>
      <w:bCs/>
      <w:lang w:eastAsia="en-US"/>
    </w:rPr>
  </w:style>
  <w:style w:type="character" w:customStyle="1" w:styleId="Heading2Char">
    <w:name w:val="Heading 2 Char"/>
    <w:basedOn w:val="DefaultParagraphFont"/>
    <w:link w:val="Heading2"/>
    <w:rsid w:val="0009585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531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5AIRPNAIUNRU-859666464-4634</_dlc_DocId>
    <_dlc_DocIdUrl xmlns="71c5aaf6-e6ce-465b-b873-5148d2a4c105">
      <Url>https://nokia.sharepoint.com/sites/c5g/e2earch/_layouts/15/DocIdRedir.aspx?ID=5AIRPNAIUNRU-859666464-4634</Url>
      <Description>5AIRPNAIUNRU-859666464-4634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3f22d2f-d16e-4be6-ad4f-29fa0b067c3c"/>
    <ds:schemaRef ds:uri="http://purl.org/dc/elements/1.1/"/>
    <ds:schemaRef ds:uri="3b34c8f0-1ef5-4d1e-bb66-517ce7fe7356"/>
    <ds:schemaRef ds:uri="a3840f4f-04be-43d1-b2ef-6ff1382503c7"/>
    <ds:schemaRef ds:uri="http://www.w3.org/XML/1998/namespace"/>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64CA77-2466-487D-B9E5-A55643691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3</Pages>
  <Words>1259</Words>
  <Characters>6264</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cp:lastModifiedBy>
  <cp:revision>27</cp:revision>
  <dcterms:created xsi:type="dcterms:W3CDTF">2019-02-04T15:58:00Z</dcterms:created>
  <dcterms:modified xsi:type="dcterms:W3CDTF">2019-02-13T15:47:00Z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a26d793d-d58c-4f6a-86be-5ef16feb9599</vt:lpwstr>
  </property>
  <property fmtid="{D5CDD505-2E9C-101B-9397-08002B2CF9AE}" pid="4" name="AuthorIds_UIVersion_3584">
    <vt:lpwstr>723</vt:lpwstr>
  </property>
  <property fmtid="{D5CDD505-2E9C-101B-9397-08002B2CF9AE}" pid="5" name="AuthorIds_UIVersion_4608">
    <vt:lpwstr>723</vt:lpwstr>
  </property>
</Properties>
</file>